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777777" w:rsidR="00657195" w:rsidRPr="00E55FB3" w:rsidRDefault="00AC0590" w:rsidP="00001255">
      <w:pPr>
        <w:ind w:left="3420" w:right="6220"/>
        <w:rPr>
          <w:rFonts w:ascii="Arial" w:hAnsi="Arial" w:cs="Arial"/>
          <w:sz w:val="2"/>
        </w:rPr>
      </w:pPr>
      <w:r w:rsidRPr="00E55FB3">
        <w:rPr>
          <w:rFonts w:ascii="Arial" w:hAnsi="Arial" w:cs="Arial"/>
          <w:noProof/>
          <w:sz w:val="2"/>
        </w:rPr>
        <w:drawing>
          <wp:anchor distT="0" distB="0" distL="114300" distR="114300" simplePos="0" relativeHeight="251662336" behindDoc="1" locked="0" layoutInCell="1" allowOverlap="1" wp14:anchorId="5D4558BA" wp14:editId="4869D11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466975" cy="636905"/>
            <wp:effectExtent l="0" t="0" r="9525" b="0"/>
            <wp:wrapTight wrapText="bothSides">
              <wp:wrapPolygon edited="0">
                <wp:start x="0" y="0"/>
                <wp:lineTo x="0" y="20674"/>
                <wp:lineTo x="21517" y="20674"/>
                <wp:lineTo x="21517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CI-CANT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291" w:rsidRPr="00E55FB3">
        <w:rPr>
          <w:rFonts w:ascii="Arial" w:hAnsi="Arial" w:cs="Arial"/>
          <w:sz w:val="2"/>
        </w:rPr>
        <w:br/>
      </w:r>
    </w:p>
    <w:p w14:paraId="6376A9CA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E55FB3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E55FB3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E55F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E55FB3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E55FB3" w:rsidRDefault="007020A9" w:rsidP="00C643DD">
      <w:pPr>
        <w:ind w:left="3420" w:right="6220"/>
        <w:rPr>
          <w:rFonts w:ascii="Arial" w:hAnsi="Arial" w:cs="Arial"/>
          <w:sz w:val="2"/>
        </w:rPr>
      </w:pPr>
      <w:r w:rsidRPr="00E55FB3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E55FB3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E55FB3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017DF702" w14:textId="77777777" w:rsidR="006D2B2F" w:rsidRPr="00E55FB3" w:rsidRDefault="006D2B2F" w:rsidP="00C643DD">
      <w:pPr>
        <w:ind w:left="3420" w:right="6220"/>
        <w:rPr>
          <w:rFonts w:ascii="Arial" w:hAnsi="Arial" w:cs="Arial"/>
          <w:sz w:val="12"/>
          <w:szCs w:val="12"/>
        </w:rPr>
      </w:pPr>
    </w:p>
    <w:p w14:paraId="5879C5EA" w14:textId="77777777" w:rsidR="006D2B2F" w:rsidRPr="00E55F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E55FB3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E55FB3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E55FB3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7777777" w:rsidR="00EA2291" w:rsidRPr="00E55FB3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E55FB3">
              <w:rPr>
                <w:rFonts w:ascii="Arial" w:eastAsia="DejaVu Sans" w:hAnsi="Arial" w:cs="Arial"/>
                <w:b/>
                <w:color w:val="FFFFFF"/>
                <w:sz w:val="28"/>
              </w:rPr>
              <w:t>CADRE DE REPONSE TECHNIQUE</w:t>
            </w:r>
          </w:p>
        </w:tc>
      </w:tr>
    </w:tbl>
    <w:p w14:paraId="7B577E1B" w14:textId="77777777" w:rsidR="00EA2291" w:rsidRPr="00E55FB3" w:rsidRDefault="00EA2291" w:rsidP="00EA2291">
      <w:pPr>
        <w:spacing w:line="240" w:lineRule="exact"/>
        <w:rPr>
          <w:rFonts w:ascii="Arial" w:hAnsi="Arial" w:cs="Arial"/>
        </w:rPr>
      </w:pPr>
      <w:r w:rsidRPr="00E55FB3">
        <w:rPr>
          <w:rFonts w:ascii="Arial" w:hAnsi="Arial" w:cs="Arial"/>
        </w:rPr>
        <w:t xml:space="preserve"> </w:t>
      </w:r>
    </w:p>
    <w:p w14:paraId="27A3E498" w14:textId="77777777" w:rsidR="00204DD4" w:rsidRPr="00E55FB3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E55FB3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E55FB3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767F1074" w14:textId="77777777" w:rsidR="00204DD4" w:rsidRPr="00E55FB3" w:rsidRDefault="00204DD4" w:rsidP="00204DD4">
      <w:pPr>
        <w:pStyle w:val="ParagrapheIndent2"/>
        <w:spacing w:line="256" w:lineRule="exact"/>
        <w:jc w:val="center"/>
        <w:rPr>
          <w:rFonts w:ascii="Arial" w:hAnsi="Arial" w:cs="Arial"/>
          <w:color w:val="000000"/>
          <w:lang w:val="fr-FR"/>
        </w:rPr>
      </w:pPr>
      <w:r w:rsidRPr="00E55FB3">
        <w:rPr>
          <w:rFonts w:ascii="Arial" w:hAnsi="Arial" w:cs="Arial"/>
          <w:color w:val="000000"/>
          <w:lang w:val="fr-FR"/>
        </w:rPr>
        <w:t>Procédure adaptée ouverte</w:t>
      </w:r>
    </w:p>
    <w:p w14:paraId="3F93A061" w14:textId="03A7295B" w:rsidR="00B30656" w:rsidRPr="00E55FB3" w:rsidRDefault="00204DD4" w:rsidP="00204DD4">
      <w:pPr>
        <w:spacing w:line="240" w:lineRule="exact"/>
        <w:rPr>
          <w:rFonts w:ascii="Arial" w:hAnsi="Arial" w:cs="Arial"/>
          <w:color w:val="000000"/>
        </w:rPr>
      </w:pPr>
      <w:r w:rsidRPr="00E55FB3">
        <w:rPr>
          <w:rFonts w:ascii="Arial" w:hAnsi="Arial" w:cs="Arial"/>
          <w:color w:val="000000"/>
        </w:rPr>
        <w:t>Soumise aux dispositions des articles L. 2123-1 et R. 2123-1 1° du Code de la commande publique</w:t>
      </w:r>
    </w:p>
    <w:p w14:paraId="2D00CA8B" w14:textId="77777777" w:rsidR="00204DD4" w:rsidRPr="00E55FB3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E55FB3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E55FB3" w14:paraId="7C629E7E" w14:textId="77777777" w:rsidTr="00683252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242323A" w14:textId="77777777" w:rsidR="00204DD4" w:rsidRPr="00E55FB3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E55FB3">
              <w:rPr>
                <w:rFonts w:ascii="Arial" w:eastAsia="DejaVu Sans" w:hAnsi="Arial" w:cs="Arial"/>
                <w:b/>
                <w:color w:val="000000"/>
                <w:sz w:val="28"/>
              </w:rPr>
              <w:t>MARCHE N°2615C02MP</w:t>
            </w:r>
          </w:p>
          <w:p w14:paraId="508DB7FB" w14:textId="77777777" w:rsidR="00204DD4" w:rsidRPr="00E55FB3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299272A" w14:textId="6E8AE758" w:rsidR="001A0972" w:rsidRPr="00E55FB3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E55FB3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FOURNITURE D’ÉQUIPEMENTS ET DE CONSOMMABLES D’OPHTALMOLOGIE POUR LE COMPTE DE LA CCI DU CANTAL, DANS </w:t>
            </w:r>
            <w:r w:rsidR="00F664B8" w:rsidRPr="00E55FB3">
              <w:rPr>
                <w:rFonts w:ascii="Arial" w:eastAsia="DejaVu Sans" w:hAnsi="Arial" w:cs="Arial"/>
                <w:b/>
                <w:color w:val="000000"/>
                <w:sz w:val="28"/>
              </w:rPr>
              <w:t>LE CADRE DE SES ACTIVITÉS DE SON CENTRE DE FORMATION DE SAINT FLOUR.</w:t>
            </w:r>
          </w:p>
          <w:p w14:paraId="6302A1E6" w14:textId="77777777" w:rsidR="00E3063B" w:rsidRPr="00E55FB3" w:rsidRDefault="00E3063B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4DA5FA13" w:rsidR="00E3063B" w:rsidRPr="00E55FB3" w:rsidRDefault="00E55FB3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E55FB3">
              <w:rPr>
                <w:rFonts w:ascii="Arial" w:eastAsia="DejaVu Sans" w:hAnsi="Arial" w:cs="Arial"/>
                <w:b/>
                <w:color w:val="000000"/>
                <w:sz w:val="28"/>
              </w:rPr>
              <w:t>LOT 3 : CONSOMMABLES OPTIQUE LUNETTERIE DONT LUNETTES D’ESSAI / MALLETTE DE VERRES D’ESSAI</w:t>
            </w:r>
          </w:p>
        </w:tc>
      </w:tr>
    </w:tbl>
    <w:p w14:paraId="6E6738EA" w14:textId="77777777" w:rsidR="00001255" w:rsidRPr="00E55FB3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E55FB3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E55FB3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E55FB3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77777777" w:rsidR="00B670A5" w:rsidRPr="00E55F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E55FB3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technique est contractuel</w:t>
      </w:r>
      <w:r w:rsidRPr="00E55FB3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E55FB3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E55FB3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E55FB3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E55FB3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E55FB3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E55FB3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0C29825A" w14:textId="77777777" w:rsidR="002060A1" w:rsidRPr="00E55FB3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E55FB3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2F7A5F62" w14:textId="77777777" w:rsidR="002A0D58" w:rsidRPr="00E55FB3" w:rsidRDefault="002A0D58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4A9FE48" w14:textId="77777777" w:rsidR="002060A1" w:rsidRPr="00E55FB3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E55FB3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77777777" w:rsidR="004B5C93" w:rsidRPr="00E55FB3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E55FB3">
        <w:rPr>
          <w:rFonts w:ascii="Arial" w:hAnsi="Arial" w:cs="Arial"/>
          <w:b/>
          <w:bCs/>
          <w:caps/>
          <w:color w:val="FFFFFF"/>
        </w:rPr>
        <w:lastRenderedPageBreak/>
        <w:t>échéa</w:t>
      </w:r>
    </w:p>
    <w:p w14:paraId="1DDA9143" w14:textId="77777777" w:rsidR="004B5C93" w:rsidRPr="00E55FB3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E55FB3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E55FB3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E55FB3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E55F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E55F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E55FB3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E55F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E55F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E55F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E55F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E55F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E55F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E55FB3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E55FB3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E55FB3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E55FB3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E55F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E55FB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E55FB3" w:rsidRDefault="004B5C93" w:rsidP="004950A8">
      <w:pPr>
        <w:rPr>
          <w:rFonts w:ascii="Arial" w:hAnsi="Arial" w:cs="Arial"/>
        </w:rPr>
      </w:pPr>
      <w:r w:rsidRPr="00E55FB3">
        <w:rPr>
          <w:rFonts w:ascii="Arial" w:hAnsi="Arial" w:cs="Arial"/>
        </w:rPr>
        <w:br w:type="page"/>
      </w:r>
    </w:p>
    <w:p w14:paraId="663EC9A4" w14:textId="77777777" w:rsidR="003B7461" w:rsidRPr="00E55FB3" w:rsidRDefault="003B7461" w:rsidP="003B7461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E55FB3">
        <w:rPr>
          <w:rFonts w:ascii="Arial" w:hAnsi="Arial" w:cs="Arial"/>
          <w:b/>
          <w:bCs/>
          <w:caps/>
          <w:color w:val="FFFFFF"/>
        </w:rPr>
        <w:lastRenderedPageBreak/>
        <w:t xml:space="preserve">Moyens </w:t>
      </w:r>
      <w:r w:rsidR="005733FD" w:rsidRPr="00E55FB3">
        <w:rPr>
          <w:rFonts w:ascii="Arial" w:hAnsi="Arial" w:cs="Arial"/>
          <w:b/>
          <w:bCs/>
          <w:caps/>
          <w:color w:val="FFFFFF"/>
        </w:rPr>
        <w:t xml:space="preserve">AFFECTES A LA PRESTATION </w:t>
      </w:r>
    </w:p>
    <w:p w14:paraId="11CA8454" w14:textId="77777777" w:rsidR="003B7461" w:rsidRPr="00E55FB3" w:rsidRDefault="003B7461" w:rsidP="004B5C93">
      <w:pPr>
        <w:rPr>
          <w:rFonts w:ascii="Arial" w:hAnsi="Arial" w:cs="Arial"/>
        </w:rPr>
      </w:pPr>
    </w:p>
    <w:p w14:paraId="214345A3" w14:textId="77777777" w:rsidR="003E5C6C" w:rsidRPr="00E55FB3" w:rsidRDefault="003E5C6C" w:rsidP="004B5C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DE3E90" w:rsidRPr="00E55FB3" w14:paraId="3EF4F027" w14:textId="77777777" w:rsidTr="00FF6165">
        <w:trPr>
          <w:trHeight w:val="358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D33DC1" w14:textId="736A03FE" w:rsidR="00DE3E90" w:rsidRPr="00E55FB3" w:rsidRDefault="00FE0BBC" w:rsidP="00FE0B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55FB3">
              <w:rPr>
                <w:rFonts w:ascii="Arial" w:hAnsi="Arial" w:cs="Arial"/>
                <w:b/>
                <w:sz w:val="28"/>
                <w:szCs w:val="28"/>
              </w:rPr>
              <w:t xml:space="preserve">2 – VALEUR TECHNIQUE – </w:t>
            </w:r>
            <w:r w:rsidR="00FE0D88" w:rsidRPr="00E55FB3">
              <w:rPr>
                <w:rFonts w:ascii="Arial" w:hAnsi="Arial" w:cs="Arial"/>
                <w:b/>
                <w:sz w:val="28"/>
                <w:szCs w:val="28"/>
              </w:rPr>
              <w:t>30</w:t>
            </w:r>
            <w:r w:rsidRPr="00E55FB3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  <w:r w:rsidR="000445DB" w:rsidRPr="00E55FB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652AB7" w:rsidRPr="00E55FB3" w14:paraId="6E007903" w14:textId="77777777" w:rsidTr="00683252">
        <w:trPr>
          <w:trHeight w:val="4033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4BD5" w14:textId="77777777" w:rsidR="00E55FB3" w:rsidRPr="00E55FB3" w:rsidRDefault="00E55FB3" w:rsidP="00E55FB3">
            <w:pPr>
              <w:spacing w:before="80" w:after="20"/>
              <w:ind w:left="284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  <w:r w:rsidRPr="00E55FB3"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  <w:t>2.</w:t>
            </w:r>
            <w:r w:rsidRPr="00E55FB3">
              <w:rPr>
                <w:rFonts w:ascii="Arial" w:eastAsia="DejaVu Sans" w:hAnsi="Arial" w:cs="Arial"/>
                <w:color w:val="000000"/>
                <w:sz w:val="22"/>
                <w:szCs w:val="22"/>
              </w:rPr>
              <w:t xml:space="preserve">1- Qualité des consommables proposés : </w:t>
            </w:r>
            <w:r w:rsidRPr="00E55FB3"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  <w:t xml:space="preserve">conformité aux spécifications du CCP, Profondeur de gamme (nombre de références), Garantie de la qualité , professionnelle des produits </w:t>
            </w:r>
          </w:p>
          <w:p w14:paraId="6669111B" w14:textId="77777777" w:rsidR="00E55FB3" w:rsidRPr="00E55FB3" w:rsidRDefault="00E55FB3" w:rsidP="00E55FB3">
            <w:pPr>
              <w:spacing w:before="80" w:after="20"/>
              <w:ind w:left="284" w:right="80"/>
              <w:rPr>
                <w:rFonts w:ascii="Arial" w:eastAsia="DejaVu Sans" w:hAnsi="Arial" w:cs="Arial"/>
                <w:i/>
                <w:iCs/>
                <w:sz w:val="22"/>
                <w:szCs w:val="22"/>
              </w:rPr>
            </w:pPr>
            <w:r w:rsidRPr="00E55FB3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>=&gt; le candidat joindra tout document utile à l’appréciation de ce sous-critère (fiches techniques, photos, catalogue tarifé)</w:t>
            </w:r>
          </w:p>
          <w:p w14:paraId="55ADD63E" w14:textId="4E269B5B" w:rsidR="00652AB7" w:rsidRPr="00E55FB3" w:rsidRDefault="00652AB7" w:rsidP="00652AB7">
            <w:pPr>
              <w:pStyle w:val="Paragraphedeliste"/>
              <w:spacing w:before="80" w:after="20"/>
              <w:ind w:left="1004" w:right="80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F99F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4D76888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4687BD1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385899D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4FD05CE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9D48B65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F4A08C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8BFE231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9BA2D1A" w14:textId="515301CB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66120FA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73AEB31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A5D7E82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FCB148C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6D0A96C" w14:textId="77777777" w:rsidR="00652AB7" w:rsidRPr="00E55FB3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136202" w:rsidRPr="00E55FB3" w14:paraId="7F0B8CA7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EFD9" w14:textId="77777777" w:rsidR="00E55FB3" w:rsidRPr="00E55FB3" w:rsidRDefault="00E55FB3" w:rsidP="00E55FB3">
            <w:pPr>
              <w:pStyle w:val="Default"/>
              <w:ind w:left="284"/>
              <w:rPr>
                <w:rFonts w:ascii="Arial" w:eastAsia="DejaVu Sans" w:hAnsi="Arial" w:cs="Arial"/>
                <w:i/>
                <w:iCs/>
                <w:sz w:val="22"/>
                <w:szCs w:val="22"/>
              </w:rPr>
            </w:pPr>
            <w:r w:rsidRPr="00E55FB3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Pr="00E55FB3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 xml:space="preserve">.2- Organisation des prestations : Montant minimum pour franco de port / conditions de livraison, conditions de reprise / retour, interlocuteur dédié, </w:t>
            </w:r>
          </w:p>
          <w:p w14:paraId="232F4DB2" w14:textId="0AC18D21" w:rsidR="00136202" w:rsidRPr="00E55FB3" w:rsidRDefault="00136202" w:rsidP="00FF6165">
            <w:pPr>
              <w:spacing w:before="120" w:after="40"/>
              <w:ind w:right="80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64D4" w14:textId="77777777" w:rsidR="00136202" w:rsidRPr="00E55FB3" w:rsidRDefault="0013620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15CF793" w14:textId="77777777" w:rsidR="00FE0BBC" w:rsidRPr="00E55FB3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692A514" w14:textId="77777777" w:rsidR="00FE0BBC" w:rsidRPr="00E55FB3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2D3F8EF" w14:textId="77777777" w:rsidR="00FE0BBC" w:rsidRPr="00E55FB3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901CEA7" w14:textId="77777777" w:rsidR="00FE0BBC" w:rsidRPr="00E55FB3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561B0CF" w14:textId="77777777" w:rsidR="00C21329" w:rsidRPr="00E55FB3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FC8F4B9" w14:textId="77777777" w:rsidR="00C21329" w:rsidRPr="00E55FB3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B616342" w14:textId="77777777" w:rsidR="00FE0BBC" w:rsidRPr="00E55FB3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298CCE" w14:textId="77777777" w:rsidR="00FE0BBC" w:rsidRPr="00E55FB3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683252" w:rsidRPr="00E55FB3" w14:paraId="5C768864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8D0BC6" w14:textId="77777777" w:rsidR="00683252" w:rsidRPr="00E55FB3" w:rsidRDefault="00683252" w:rsidP="00FF6165">
            <w:pPr>
              <w:spacing w:before="120" w:after="40"/>
              <w:ind w:right="8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1653DC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1C829D1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33A4624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CB8D8F6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735F4F7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C3B5EF8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DA1DB99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221B440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02CB27A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409866A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FF6165" w:rsidRPr="00E55FB3" w14:paraId="48D1C3B5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9EEC4B" w14:textId="77777777" w:rsidR="00FF6165" w:rsidRPr="00E55FB3" w:rsidRDefault="00FF6165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C4DFEE7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C32269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F2C8138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D41CAD7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D3BACF1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9777DE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DA1A3B9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1CE62A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0E73677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274814A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ADB398D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41852F0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B79AB88" w14:textId="77777777" w:rsidR="000445DB" w:rsidRPr="00E55FB3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E5EC80" w14:textId="77777777" w:rsidR="00FF6165" w:rsidRPr="00E55FB3" w:rsidRDefault="00FF6165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7BDC5A7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E1DD638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25E66E2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25219A0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7BD5BA5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5F69C5A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D0738B0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17615E1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332A4C9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7631FCB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DF2E0A7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E41086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7864875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30D40D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2A4F5FC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720CE69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2DCA52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2E278F5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9D94B78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5EF77BC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12EFA2D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90BE995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7E4755C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CF3CFD4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B93708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A8F7B8D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5B62C63" w14:textId="77777777" w:rsidR="00683252" w:rsidRPr="00E55FB3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FF6165" w:rsidRPr="00E55FB3" w14:paraId="673532A3" w14:textId="77777777" w:rsidTr="00683252">
        <w:trPr>
          <w:trHeight w:val="358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A85E44" w14:textId="041A0189" w:rsidR="00FF6165" w:rsidRPr="00E55FB3" w:rsidRDefault="00FF6165" w:rsidP="00062CE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55FB3">
              <w:rPr>
                <w:rFonts w:ascii="Arial" w:hAnsi="Arial" w:cs="Arial"/>
                <w:b/>
                <w:sz w:val="28"/>
                <w:szCs w:val="28"/>
              </w:rPr>
              <w:t>3 – DELAI – 10 points</w:t>
            </w:r>
            <w:r w:rsidR="00683252" w:rsidRPr="00E55FB3">
              <w:rPr>
                <w:rFonts w:ascii="Arial" w:hAnsi="Arial" w:cs="Arial"/>
                <w:b/>
                <w:sz w:val="28"/>
                <w:szCs w:val="28"/>
              </w:rPr>
              <w:t xml:space="preserve"> OFFRE DE BASE</w:t>
            </w:r>
          </w:p>
        </w:tc>
      </w:tr>
      <w:tr w:rsidR="00FF6165" w:rsidRPr="00E55FB3" w14:paraId="285E3220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B4F6" w14:textId="755C5BD3" w:rsidR="00FF6165" w:rsidRPr="00E55FB3" w:rsidRDefault="00E55FB3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sz w:val="20"/>
              </w:rPr>
            </w:pPr>
            <w:r w:rsidRPr="00B40F72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Délais de livraison annoncés, Délai de Garantie 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0A58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1FCF07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F55F929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448DE4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1040638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726F7A7E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9BB2E6F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CF11923" w14:textId="77777777" w:rsidR="00FF6165" w:rsidRPr="00E55FB3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3E5C6C" w:rsidRPr="00E55FB3" w14:paraId="2342A53B" w14:textId="77777777" w:rsidTr="00683252">
        <w:trPr>
          <w:trHeight w:val="493"/>
        </w:trPr>
        <w:tc>
          <w:tcPr>
            <w:tcW w:w="14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1FF05B" w14:textId="77777777" w:rsidR="004B1600" w:rsidRPr="00E55FB3" w:rsidRDefault="004B1600" w:rsidP="005733FD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74E88CEF" w14:textId="77777777" w:rsidR="004B1600" w:rsidRPr="00E55FB3" w:rsidRDefault="004B1600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6B96EC6" w14:textId="77777777" w:rsidR="00FF6165" w:rsidRPr="00E55FB3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23AA929" w14:textId="77777777" w:rsidR="00FF6165" w:rsidRPr="00E55FB3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0C8F270A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02E7795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8BEDDA2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16076E5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0008D99E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5592CF9D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3E4B137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99805A5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F3F29D2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15BA5E8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7EF9A810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3F03FF7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4925380" w14:textId="77777777" w:rsidR="00683252" w:rsidRPr="00E55FB3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466C536" w14:textId="77777777" w:rsidR="00FF6165" w:rsidRPr="00E55FB3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7FA33D2" w14:textId="77777777" w:rsidR="00FF6165" w:rsidRPr="00E55FB3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5954BF7B" w14:textId="77777777" w:rsidR="00FF6165" w:rsidRPr="00E55FB3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E0BBC" w:rsidRPr="00E55FB3" w14:paraId="25AE6845" w14:textId="77777777" w:rsidTr="00683252">
        <w:trPr>
          <w:trHeight w:val="487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C99037" w14:textId="5949CBEA" w:rsidR="00FE0BBC" w:rsidRPr="00E55FB3" w:rsidRDefault="00FE0BBC" w:rsidP="00683252">
            <w:pPr>
              <w:ind w:right="8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E55FB3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3 - </w:t>
            </w:r>
            <w:r w:rsidR="00FF6165" w:rsidRPr="00E55FB3">
              <w:rPr>
                <w:rFonts w:ascii="Arial" w:hAnsi="Arial" w:cs="Arial"/>
                <w:b/>
                <w:sz w:val="28"/>
                <w:szCs w:val="28"/>
              </w:rPr>
              <w:t xml:space="preserve">PERFORMANCES EN MATIÈRE DE PROTECTION DE L'ENVIRONNEMENT </w:t>
            </w:r>
            <w:r w:rsidRPr="00E55FB3">
              <w:rPr>
                <w:rFonts w:ascii="Arial" w:hAnsi="Arial" w:cs="Arial"/>
                <w:b/>
                <w:sz w:val="28"/>
                <w:szCs w:val="28"/>
              </w:rPr>
              <w:t xml:space="preserve">– </w:t>
            </w:r>
            <w:r w:rsidR="00FE0D88" w:rsidRPr="00E55FB3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E55FB3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</w:p>
        </w:tc>
      </w:tr>
      <w:tr w:rsidR="0013560E" w:rsidRPr="00E55FB3" w14:paraId="786946AD" w14:textId="77777777" w:rsidTr="00683252">
        <w:trPr>
          <w:trHeight w:val="77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88112" w14:textId="2762F8F0" w:rsidR="00D62523" w:rsidRPr="00E55FB3" w:rsidRDefault="007E78CA" w:rsidP="00683252">
            <w:pPr>
              <w:pStyle w:val="Paragraphedeliste"/>
              <w:spacing w:before="80" w:after="20"/>
              <w:ind w:left="0" w:right="80"/>
              <w:rPr>
                <w:rFonts w:ascii="Arial" w:eastAsia="DejaVu Sans" w:hAnsi="Arial" w:cs="Arial"/>
                <w:b/>
                <w:sz w:val="20"/>
                <w:szCs w:val="20"/>
                <w:highlight w:val="yellow"/>
              </w:rPr>
            </w:pPr>
            <w:r w:rsidRPr="000E3FC0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 xml:space="preserve">Engagements en matière de réduction des déchets, </w:t>
            </w:r>
            <w:r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m</w:t>
            </w:r>
            <w:r w:rsidRPr="000E3FC0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 xml:space="preserve">odalités de transport (groupage, réduction des emballages), </w:t>
            </w:r>
            <w:r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p</w:t>
            </w:r>
            <w:r w:rsidRPr="000E3FC0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 xml:space="preserve">olitique de reprise et recyclage en fin de vie, </w:t>
            </w:r>
            <w:r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d</w:t>
            </w:r>
            <w:r w:rsidRPr="00E454EE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 xml:space="preserve">urabilité, </w:t>
            </w:r>
            <w:r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 xml:space="preserve"> </w:t>
            </w:r>
            <w:r w:rsidRPr="00E454EE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sobriété énergétique</w:t>
            </w:r>
            <w:r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, c</w:t>
            </w:r>
            <w:r w:rsidRPr="000E3FC0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ertifications ou labels environnementaux le cas échéant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C4C02" w14:textId="77777777" w:rsidR="00FE0BBC" w:rsidRPr="00E55FB3" w:rsidRDefault="00FE0BBC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061CB29C" w14:textId="77777777" w:rsidR="00C21329" w:rsidRPr="00E55FB3" w:rsidRDefault="00C21329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15FCC1E6" w14:textId="77777777" w:rsidR="00BB2839" w:rsidRPr="00E55FB3" w:rsidRDefault="00BB2839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1CA74303" w14:textId="77777777" w:rsidR="00195698" w:rsidRPr="00E55FB3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7C2953E" w14:textId="77777777" w:rsidR="00195698" w:rsidRPr="00E55FB3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EE44C7B" w14:textId="77777777" w:rsidR="00195698" w:rsidRPr="00E55FB3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7756E62B" w14:textId="77777777" w:rsidR="00195698" w:rsidRPr="00E55FB3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BC8F781" w14:textId="77777777" w:rsidR="00195698" w:rsidRPr="00E55FB3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47CC01AE" w14:textId="77777777" w:rsidR="00195698" w:rsidRPr="00E55FB3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</w:tc>
      </w:tr>
    </w:tbl>
    <w:p w14:paraId="79C94C36" w14:textId="77777777" w:rsidR="00D07A9A" w:rsidRPr="00E55FB3" w:rsidRDefault="00D07A9A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0ACD0BAD" w14:textId="77777777" w:rsidR="000445DB" w:rsidRPr="00E55FB3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454301B8" w14:textId="77777777" w:rsidR="000445DB" w:rsidRPr="00E55FB3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139874D5" w14:textId="77777777" w:rsidR="000445DB" w:rsidRPr="00E55FB3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C234C2" w:rsidRPr="00E55FB3" w14:paraId="0F386C79" w14:textId="77777777" w:rsidTr="00683252">
        <w:trPr>
          <w:trHeight w:val="1126"/>
        </w:trPr>
        <w:tc>
          <w:tcPr>
            <w:tcW w:w="14596" w:type="dxa"/>
            <w:shd w:val="clear" w:color="auto" w:fill="DEEAF6" w:themeFill="accent1" w:themeFillTint="33"/>
            <w:vAlign w:val="center"/>
          </w:tcPr>
          <w:p w14:paraId="02659CAE" w14:textId="590E98E4" w:rsidR="00C234C2" w:rsidRPr="00E55FB3" w:rsidRDefault="00C234C2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E55FB3">
              <w:rPr>
                <w:rFonts w:ascii="Arial" w:hAnsi="Arial" w:cs="Arial"/>
              </w:rPr>
              <w:br w:type="page"/>
            </w:r>
            <w:r w:rsidRPr="00E55FB3">
              <w:rPr>
                <w:rFonts w:ascii="Arial" w:eastAsia="DejaVu Sans" w:hAnsi="Arial" w:cs="Arial"/>
                <w:b/>
                <w:color w:val="000000"/>
                <w:sz w:val="20"/>
              </w:rPr>
              <w:t xml:space="preserve">PRESENTATION </w:t>
            </w:r>
            <w:r w:rsidRPr="00E55FB3">
              <w:rPr>
                <w:rFonts w:ascii="Arial" w:eastAsia="DejaVu Sans" w:hAnsi="Arial" w:cs="Arial"/>
                <w:b/>
                <w:sz w:val="20"/>
              </w:rPr>
              <w:t>LIBRE PERMETTANT D’APPORTER DES COMPLEMENTS</w:t>
            </w:r>
          </w:p>
        </w:tc>
      </w:tr>
      <w:tr w:rsidR="00FF6165" w:rsidRPr="00E55FB3" w14:paraId="74A57081" w14:textId="77777777" w:rsidTr="00683252">
        <w:trPr>
          <w:trHeight w:val="1126"/>
        </w:trPr>
        <w:tc>
          <w:tcPr>
            <w:tcW w:w="14596" w:type="dxa"/>
            <w:vAlign w:val="center"/>
          </w:tcPr>
          <w:p w14:paraId="364E4B24" w14:textId="77777777" w:rsidR="00FF6165" w:rsidRPr="00E55FB3" w:rsidRDefault="00FF6165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449812C1" w14:textId="77777777" w:rsidR="00C234C2" w:rsidRPr="00E55FB3" w:rsidRDefault="00C234C2" w:rsidP="00C234C2">
      <w:pPr>
        <w:rPr>
          <w:rFonts w:ascii="Arial" w:hAnsi="Arial" w:cs="Arial"/>
        </w:rPr>
      </w:pPr>
    </w:p>
    <w:p w14:paraId="19144EFB" w14:textId="77777777" w:rsidR="00C234C2" w:rsidRPr="00E55FB3" w:rsidRDefault="00C234C2" w:rsidP="00C234C2">
      <w:pPr>
        <w:rPr>
          <w:rFonts w:ascii="Arial" w:hAnsi="Arial" w:cs="Arial"/>
        </w:rPr>
      </w:pPr>
    </w:p>
    <w:p w14:paraId="3B26B6FF" w14:textId="77777777" w:rsidR="00C234C2" w:rsidRPr="00E55FB3" w:rsidRDefault="00C234C2" w:rsidP="00C234C2">
      <w:pPr>
        <w:rPr>
          <w:rFonts w:ascii="Arial" w:hAnsi="Arial" w:cs="Arial"/>
        </w:rPr>
      </w:pPr>
    </w:p>
    <w:p w14:paraId="574716DF" w14:textId="77777777" w:rsidR="00C234C2" w:rsidRPr="00E55FB3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E55FB3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8C93C" w14:textId="77777777" w:rsidR="000158FD" w:rsidRDefault="000158FD">
      <w:r>
        <w:separator/>
      </w:r>
    </w:p>
  </w:endnote>
  <w:endnote w:type="continuationSeparator" w:id="0">
    <w:p w14:paraId="1A041930" w14:textId="77777777" w:rsidR="000158FD" w:rsidRDefault="0001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0483D7B0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2615C02MP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42E4A" w14:textId="77777777" w:rsidR="000158FD" w:rsidRDefault="000158FD">
      <w:r>
        <w:separator/>
      </w:r>
    </w:p>
  </w:footnote>
  <w:footnote w:type="continuationSeparator" w:id="0">
    <w:p w14:paraId="507C2ABA" w14:textId="77777777" w:rsidR="000158FD" w:rsidRDefault="00015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5D4558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37F54A3"/>
    <w:multiLevelType w:val="hybridMultilevel"/>
    <w:tmpl w:val="8564B52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3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1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4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7"/>
  </w:num>
  <w:num w:numId="7" w16cid:durableId="365764285">
    <w:abstractNumId w:val="28"/>
  </w:num>
  <w:num w:numId="8" w16cid:durableId="2116486171">
    <w:abstractNumId w:val="25"/>
  </w:num>
  <w:num w:numId="9" w16cid:durableId="632902895">
    <w:abstractNumId w:val="22"/>
  </w:num>
  <w:num w:numId="10" w16cid:durableId="33239335">
    <w:abstractNumId w:val="14"/>
  </w:num>
  <w:num w:numId="11" w16cid:durableId="792023501">
    <w:abstractNumId w:val="26"/>
  </w:num>
  <w:num w:numId="12" w16cid:durableId="1292588815">
    <w:abstractNumId w:val="8"/>
  </w:num>
  <w:num w:numId="13" w16cid:durableId="442917819">
    <w:abstractNumId w:val="31"/>
  </w:num>
  <w:num w:numId="14" w16cid:durableId="1261185004">
    <w:abstractNumId w:val="19"/>
  </w:num>
  <w:num w:numId="15" w16cid:durableId="1037780811">
    <w:abstractNumId w:val="12"/>
  </w:num>
  <w:num w:numId="16" w16cid:durableId="480389758">
    <w:abstractNumId w:val="21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30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3"/>
  </w:num>
  <w:num w:numId="27" w16cid:durableId="231165721">
    <w:abstractNumId w:val="29"/>
  </w:num>
  <w:num w:numId="28" w16cid:durableId="870923930">
    <w:abstractNumId w:val="20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7"/>
  </w:num>
  <w:num w:numId="32" w16cid:durableId="1911816392">
    <w:abstractNumId w:val="18"/>
  </w:num>
  <w:num w:numId="33" w16cid:durableId="546183103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58FD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45DB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0728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16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2AB7"/>
    <w:rsid w:val="006539E1"/>
    <w:rsid w:val="00657195"/>
    <w:rsid w:val="00671003"/>
    <w:rsid w:val="006714A7"/>
    <w:rsid w:val="006775F9"/>
    <w:rsid w:val="00683252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E78CA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4EB2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063B"/>
    <w:rsid w:val="00E31292"/>
    <w:rsid w:val="00E371A3"/>
    <w:rsid w:val="00E37354"/>
    <w:rsid w:val="00E47B6A"/>
    <w:rsid w:val="00E534D8"/>
    <w:rsid w:val="00E55FB3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938"/>
    <w:rsid w:val="00F40C99"/>
    <w:rsid w:val="00F43FC7"/>
    <w:rsid w:val="00F560CC"/>
    <w:rsid w:val="00F60951"/>
    <w:rsid w:val="00F63467"/>
    <w:rsid w:val="00F664B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0D88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340</Words>
  <Characters>2878</Characters>
  <Application>Microsoft Office Word</Application>
  <DocSecurity>0</DocSecurity>
  <Lines>239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8</cp:revision>
  <cp:lastPrinted>2014-04-07T07:00:00Z</cp:lastPrinted>
  <dcterms:created xsi:type="dcterms:W3CDTF">2026-01-27T14:38:00Z</dcterms:created>
  <dcterms:modified xsi:type="dcterms:W3CDTF">2026-02-05T14:42:00Z</dcterms:modified>
</cp:coreProperties>
</file>